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2FAAB123"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PATTERSON-KELLEY</w:t>
      </w:r>
      <w:r w:rsidR="00113180">
        <w:rPr>
          <w:rFonts w:ascii="Arial" w:hAnsi="Arial" w:cs="Arial"/>
          <w:sz w:val="24"/>
          <w:szCs w:val="24"/>
        </w:rPr>
        <w:t>, LLC</w:t>
      </w:r>
      <w:r w:rsidRPr="00E25C89">
        <w:rPr>
          <w:rFonts w:ascii="Arial" w:hAnsi="Arial" w:cs="Arial"/>
          <w:sz w:val="24"/>
          <w:szCs w:val="24"/>
        </w:rPr>
        <w:t xml:space="preserve"> </w:t>
      </w:r>
      <w:r w:rsidR="00E87AC9">
        <w:rPr>
          <w:rFonts w:ascii="Arial" w:hAnsi="Arial" w:cs="Arial"/>
          <w:b/>
          <w:sz w:val="24"/>
          <w:szCs w:val="24"/>
        </w:rPr>
        <w:t>STORM</w:t>
      </w:r>
      <w:r w:rsidR="004A19CE">
        <w:rPr>
          <w:rFonts w:ascii="Arial" w:hAnsi="Arial" w:cs="Arial"/>
          <w:b/>
          <w:sz w:val="24"/>
          <w:szCs w:val="24"/>
          <w:vertAlign w:val="superscript"/>
        </w:rPr>
        <w:t>™</w:t>
      </w:r>
      <w:r w:rsidR="00180220" w:rsidRPr="00621999">
        <w:rPr>
          <w:rFonts w:ascii="Arial" w:hAnsi="Arial" w:cs="Arial"/>
          <w:b/>
          <w:sz w:val="24"/>
          <w:szCs w:val="24"/>
        </w:rPr>
        <w:t xml:space="preserve"> </w:t>
      </w:r>
      <w:r w:rsidR="008438A3">
        <w:rPr>
          <w:rFonts w:ascii="Arial" w:hAnsi="Arial" w:cs="Arial"/>
          <w:b/>
          <w:sz w:val="24"/>
          <w:szCs w:val="24"/>
        </w:rPr>
        <w:t xml:space="preserve">CONDENSING </w:t>
      </w:r>
      <w:r w:rsidRPr="00621999">
        <w:rPr>
          <w:rFonts w:ascii="Arial" w:hAnsi="Arial" w:cs="Arial"/>
          <w:b/>
          <w:sz w:val="24"/>
          <w:szCs w:val="24"/>
        </w:rPr>
        <w:t>BOILERS</w:t>
      </w:r>
      <w:r w:rsidR="00180220">
        <w:rPr>
          <w:rFonts w:ascii="Arial" w:hAnsi="Arial" w:cs="Arial"/>
          <w:sz w:val="24"/>
          <w:szCs w:val="24"/>
        </w:rPr>
        <w:t xml:space="preserve"> </w:t>
      </w:r>
      <w:r w:rsidR="00113180">
        <w:rPr>
          <w:rFonts w:ascii="Arial" w:hAnsi="Arial" w:cs="Arial"/>
          <w:sz w:val="24"/>
          <w:szCs w:val="24"/>
        </w:rPr>
        <w:t xml:space="preserve">  </w:t>
      </w:r>
      <w:r w:rsidR="008438A3">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8438A3">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E87AC9"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E87AC9">
        <w:rPr>
          <w:rFonts w:ascii="Arial" w:hAnsi="Arial" w:cs="Arial"/>
          <w:sz w:val="24"/>
          <w:szCs w:val="24"/>
          <w:lang w:val="fr-CA"/>
        </w:rPr>
        <w:t>NFPA 54/</w:t>
      </w:r>
      <w:r w:rsidR="00053F7D" w:rsidRPr="00E87AC9">
        <w:rPr>
          <w:rFonts w:ascii="Arial" w:hAnsi="Arial" w:cs="Arial"/>
          <w:sz w:val="24"/>
          <w:szCs w:val="24"/>
          <w:lang w:val="fr-CA"/>
        </w:rPr>
        <w:t>ANSI Z221.3 (National Fuel Gas Code)</w:t>
      </w:r>
    </w:p>
    <w:p w14:paraId="23D56027"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6C65B94F" w:rsidR="00426445"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1582EFA8" w14:textId="77777777" w:rsidR="007427C3" w:rsidRPr="00180220" w:rsidRDefault="007427C3" w:rsidP="007427C3">
      <w:pPr>
        <w:pStyle w:val="ListParagraph"/>
        <w:tabs>
          <w:tab w:val="left" w:pos="1800"/>
        </w:tabs>
        <w:spacing w:after="0" w:line="240" w:lineRule="auto"/>
        <w:ind w:left="1800"/>
        <w:contextualSpacing w:val="0"/>
        <w:rPr>
          <w:rFonts w:ascii="Arial" w:hAnsi="Arial" w:cs="Arial"/>
          <w:sz w:val="24"/>
          <w:szCs w:val="24"/>
        </w:rPr>
      </w:pP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7777777" w:rsidR="00AC10A6" w:rsidRPr="00180220"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C21DC6">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C21DC6">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77777777" w:rsidR="00065708"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77777777" w:rsidR="00A0216A"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077AC640" w14:textId="77777777"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C21DC6">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26B79A32"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4BDA0262"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The boiler manufacturer shall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77777777" w:rsidR="009259F4" w:rsidRPr="009A475F"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C21DC6">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Pr="00180220"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The boiler shall be in compliance with ANSI Z21.13 / CSA 4.9 (latest edition).</w:t>
      </w:r>
    </w:p>
    <w:p w14:paraId="2B29B236" w14:textId="3A5355FB" w:rsidR="00E25C89" w:rsidRPr="005913CF"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151BD1">
        <w:rPr>
          <w:rFonts w:ascii="Arial" w:hAnsi="Arial" w:cs="Arial"/>
          <w:spacing w:val="-3"/>
          <w:sz w:val="24"/>
          <w:szCs w:val="24"/>
        </w:rPr>
        <w:t>96</w:t>
      </w:r>
      <w:r w:rsidRPr="00180220">
        <w:rPr>
          <w:rFonts w:ascii="Arial" w:hAnsi="Arial" w:cs="Arial"/>
          <w:spacing w:val="-3"/>
          <w:sz w:val="24"/>
          <w:szCs w:val="24"/>
        </w:rPr>
        <w:t>% efficiency based on operating conditions specified for testing under ANSI Z21.13 / CSA 4.9.</w:t>
      </w:r>
    </w:p>
    <w:p w14:paraId="25FFF633" w14:textId="080A5667" w:rsidR="005913CF" w:rsidRPr="00180220"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w:t>
      </w:r>
      <w:r w:rsidR="00FE173C">
        <w:rPr>
          <w:rFonts w:ascii="Arial" w:hAnsi="Arial" w:cs="Arial"/>
          <w:spacing w:val="-3"/>
          <w:sz w:val="24"/>
          <w:szCs w:val="24"/>
        </w:rPr>
        <w:t>e AHRI certified for at least 97</w:t>
      </w:r>
      <w:r>
        <w:rPr>
          <w:rFonts w:ascii="Arial" w:hAnsi="Arial" w:cs="Arial"/>
          <w:spacing w:val="-3"/>
          <w:sz w:val="24"/>
          <w:szCs w:val="24"/>
        </w:rPr>
        <w:t>% efficiency based on operating conditions specified for testing under BTS-2000.</w:t>
      </w:r>
    </w:p>
    <w:p w14:paraId="79A68F17" w14:textId="77777777"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w:t>
      </w:r>
      <w:r w:rsidR="000C27D7" w:rsidRPr="00180220">
        <w:rPr>
          <w:rFonts w:ascii="Arial" w:hAnsi="Arial" w:cs="Arial"/>
          <w:spacing w:val="-3"/>
          <w:sz w:val="24"/>
          <w:szCs w:val="24"/>
        </w:rPr>
        <w:t xml:space="preserve"> </w:t>
      </w:r>
      <w:r w:rsidRPr="00180220">
        <w:rPr>
          <w:rFonts w:ascii="Arial" w:hAnsi="Arial" w:cs="Arial"/>
          <w:spacing w:val="-3"/>
          <w:sz w:val="24"/>
          <w:szCs w:val="24"/>
        </w:rPr>
        <w:t>b</w:t>
      </w:r>
      <w:r w:rsidR="000C27D7" w:rsidRPr="00180220">
        <w:rPr>
          <w:rFonts w:ascii="Arial" w:hAnsi="Arial" w:cs="Arial"/>
          <w:spacing w:val="-3"/>
          <w:sz w:val="24"/>
          <w:szCs w:val="24"/>
        </w:rPr>
        <w:t>oi</w:t>
      </w:r>
      <w:r w:rsidRPr="00180220">
        <w:rPr>
          <w:rFonts w:ascii="Arial" w:hAnsi="Arial" w:cs="Arial"/>
          <w:spacing w:val="-3"/>
          <w:sz w:val="24"/>
          <w:szCs w:val="24"/>
        </w:rPr>
        <w:t xml:space="preserve">ler shall be in compliance </w:t>
      </w:r>
      <w:r w:rsidR="00E25C89" w:rsidRPr="00180220">
        <w:rPr>
          <w:rFonts w:ascii="Arial" w:hAnsi="Arial" w:cs="Arial"/>
          <w:spacing w:val="-3"/>
          <w:sz w:val="24"/>
          <w:szCs w:val="24"/>
        </w:rPr>
        <w:t xml:space="preserve">with </w:t>
      </w:r>
      <w:r w:rsidRPr="00180220">
        <w:rPr>
          <w:rFonts w:ascii="Arial" w:hAnsi="Arial" w:cs="Arial"/>
          <w:spacing w:val="-3"/>
          <w:sz w:val="24"/>
          <w:szCs w:val="24"/>
        </w:rPr>
        <w:t>ASME Section IV</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w:t>
      </w:r>
    </w:p>
    <w:p w14:paraId="05CC5E85" w14:textId="77777777"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in compliance with ASME CSD-1</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 xml:space="preserve">. </w:t>
      </w:r>
    </w:p>
    <w:p w14:paraId="0C52BCDB" w14:textId="77777777" w:rsidR="004F7495" w:rsidRPr="00180220"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w:t>
      </w:r>
      <w:r w:rsidR="00E25C89" w:rsidRPr="00180220">
        <w:rPr>
          <w:rFonts w:ascii="Arial" w:hAnsi="Arial" w:cs="Arial"/>
          <w:spacing w:val="-3"/>
          <w:sz w:val="24"/>
          <w:szCs w:val="24"/>
        </w:rPr>
        <w:t>’s H-3 form</w:t>
      </w:r>
      <w:r w:rsidRPr="00180220">
        <w:rPr>
          <w:rFonts w:ascii="Arial" w:hAnsi="Arial" w:cs="Arial"/>
          <w:spacing w:val="-3"/>
          <w:sz w:val="24"/>
          <w:szCs w:val="24"/>
        </w:rPr>
        <w:t xml:space="preserve"> shall be registered with the National Board.</w:t>
      </w:r>
    </w:p>
    <w:p w14:paraId="5D23DB4C" w14:textId="77777777" w:rsidR="004F7495" w:rsidRPr="00180220" w:rsidRDefault="007517FE" w:rsidP="00C21DC6">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lastRenderedPageBreak/>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00332B02" w:rsidR="00055C01" w:rsidRPr="00180220"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00113180">
        <w:rPr>
          <w:rFonts w:ascii="Arial" w:hAnsi="Arial" w:cs="Arial"/>
          <w:spacing w:val="-3"/>
          <w:sz w:val="24"/>
          <w:szCs w:val="24"/>
        </w:rPr>
        <w:t>, LLC</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180220" w:rsidRDefault="00180220" w:rsidP="00F86A38">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Efficiency</w:t>
            </w:r>
          </w:p>
        </w:tc>
      </w:tr>
      <w:tr w:rsidR="00F86580" w:rsidRPr="00180220" w14:paraId="1863766F" w14:textId="77777777" w:rsidTr="00D61AE1">
        <w:trPr>
          <w:jc w:val="center"/>
        </w:trPr>
        <w:tc>
          <w:tcPr>
            <w:tcW w:w="1548" w:type="dxa"/>
          </w:tcPr>
          <w:p w14:paraId="754ED660" w14:textId="5C6A08EF" w:rsidR="00F86580" w:rsidRPr="00180220" w:rsidRDefault="00F86580" w:rsidP="00C80B7C">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sidR="00C80B7C">
              <w:rPr>
                <w:rFonts w:ascii="Arial" w:hAnsi="Arial" w:cs="Arial"/>
                <w:b/>
                <w:spacing w:val="-3"/>
              </w:rPr>
              <w:t>650</w:t>
            </w:r>
          </w:p>
        </w:tc>
        <w:tc>
          <w:tcPr>
            <w:tcW w:w="1170" w:type="dxa"/>
          </w:tcPr>
          <w:p w14:paraId="2585B040" w14:textId="6F692E61"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r w:rsidR="00E7575D">
              <w:rPr>
                <w:rFonts w:ascii="Arial" w:hAnsi="Arial" w:cs="Arial"/>
                <w:spacing w:val="-3"/>
              </w:rPr>
              <w:t>/LP</w:t>
            </w:r>
          </w:p>
        </w:tc>
        <w:tc>
          <w:tcPr>
            <w:tcW w:w="1222" w:type="dxa"/>
            <w:vAlign w:val="center"/>
          </w:tcPr>
          <w:p w14:paraId="6C830667" w14:textId="1D10B893"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Align w:val="center"/>
          </w:tcPr>
          <w:p w14:paraId="79997C0D" w14:textId="64EBFEFD" w:rsidR="00F86580" w:rsidRPr="00180220" w:rsidRDefault="00C80B7C"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65</w:t>
            </w:r>
            <w:r w:rsidR="00E410CA">
              <w:rPr>
                <w:rFonts w:ascii="Arial" w:hAnsi="Arial" w:cs="Arial"/>
                <w:spacing w:val="-3"/>
              </w:rPr>
              <w:t>0</w:t>
            </w:r>
            <w:r w:rsidR="00F86580">
              <w:rPr>
                <w:rFonts w:ascii="Arial" w:hAnsi="Arial" w:cs="Arial"/>
                <w:spacing w:val="-3"/>
              </w:rPr>
              <w:t>,000</w:t>
            </w:r>
          </w:p>
        </w:tc>
        <w:tc>
          <w:tcPr>
            <w:tcW w:w="1271" w:type="dxa"/>
            <w:vAlign w:val="center"/>
          </w:tcPr>
          <w:p w14:paraId="1038E873" w14:textId="6193E78F" w:rsidR="00F86580" w:rsidRPr="00180220" w:rsidRDefault="00C80B7C"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65</w:t>
            </w:r>
            <w:r w:rsidR="00F86580">
              <w:rPr>
                <w:rFonts w:ascii="Arial" w:hAnsi="Arial" w:cs="Arial"/>
                <w:spacing w:val="-3"/>
              </w:rPr>
              <w:t>,000</w:t>
            </w:r>
          </w:p>
        </w:tc>
        <w:tc>
          <w:tcPr>
            <w:tcW w:w="1321" w:type="dxa"/>
          </w:tcPr>
          <w:p w14:paraId="723A42A4" w14:textId="51CF9B17"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vAlign w:val="center"/>
          </w:tcPr>
          <w:p w14:paraId="401B76A1" w14:textId="40ADF553" w:rsidR="00F86580" w:rsidRPr="00180220" w:rsidRDefault="00ED3EE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624,000</w:t>
            </w:r>
          </w:p>
        </w:tc>
        <w:tc>
          <w:tcPr>
            <w:tcW w:w="1311" w:type="dxa"/>
            <w:vAlign w:val="center"/>
          </w:tcPr>
          <w:p w14:paraId="78A2CB70" w14:textId="1A9AA055" w:rsidR="00F86580" w:rsidRPr="00180220" w:rsidRDefault="00ED3EE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w:t>
            </w:r>
            <w:r w:rsidR="00F86A38">
              <w:rPr>
                <w:rFonts w:ascii="Arial" w:hAnsi="Arial" w:cs="Arial"/>
                <w:spacing w:val="-3"/>
              </w:rPr>
              <w:t>%</w:t>
            </w:r>
          </w:p>
        </w:tc>
      </w:tr>
      <w:tr w:rsidR="00F86580" w:rsidRPr="00180220" w14:paraId="442DB1E3" w14:textId="77777777" w:rsidTr="00D61AE1">
        <w:trPr>
          <w:jc w:val="center"/>
        </w:trPr>
        <w:tc>
          <w:tcPr>
            <w:tcW w:w="1548" w:type="dxa"/>
            <w:shd w:val="clear" w:color="auto" w:fill="F2F2F2"/>
          </w:tcPr>
          <w:p w14:paraId="2F2C2C6C" w14:textId="45729396" w:rsidR="00F86580" w:rsidRPr="00180220" w:rsidRDefault="00F86580" w:rsidP="00C80B7C">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sidR="00C80B7C">
              <w:rPr>
                <w:rFonts w:ascii="Arial" w:hAnsi="Arial" w:cs="Arial"/>
                <w:b/>
                <w:spacing w:val="-3"/>
              </w:rPr>
              <w:t>800</w:t>
            </w:r>
          </w:p>
        </w:tc>
        <w:tc>
          <w:tcPr>
            <w:tcW w:w="1170" w:type="dxa"/>
            <w:shd w:val="clear" w:color="auto" w:fill="F2F2F2"/>
          </w:tcPr>
          <w:p w14:paraId="4CB10719" w14:textId="68B188A2"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r w:rsidR="00E7575D">
              <w:rPr>
                <w:rFonts w:ascii="Arial" w:hAnsi="Arial" w:cs="Arial"/>
                <w:spacing w:val="-3"/>
              </w:rPr>
              <w:t>/LP</w:t>
            </w:r>
          </w:p>
        </w:tc>
        <w:tc>
          <w:tcPr>
            <w:tcW w:w="1222" w:type="dxa"/>
            <w:shd w:val="clear" w:color="auto" w:fill="F2F2F2"/>
            <w:vAlign w:val="center"/>
          </w:tcPr>
          <w:p w14:paraId="3E6A1815" w14:textId="20A77E1C"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shd w:val="clear" w:color="auto" w:fill="F2F2F2"/>
            <w:vAlign w:val="center"/>
          </w:tcPr>
          <w:p w14:paraId="072ABAD8" w14:textId="6A3EC01E" w:rsidR="00F86580" w:rsidRPr="00180220" w:rsidRDefault="00C80B7C"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w:t>
            </w:r>
            <w:r w:rsidR="00F86580" w:rsidRPr="00180220">
              <w:rPr>
                <w:rFonts w:ascii="Arial" w:hAnsi="Arial" w:cs="Arial"/>
                <w:spacing w:val="-3"/>
              </w:rPr>
              <w:t>00,000</w:t>
            </w:r>
          </w:p>
        </w:tc>
        <w:tc>
          <w:tcPr>
            <w:tcW w:w="1271" w:type="dxa"/>
            <w:shd w:val="clear" w:color="auto" w:fill="F2F2F2"/>
            <w:vAlign w:val="center"/>
          </w:tcPr>
          <w:p w14:paraId="0D4EA273" w14:textId="08F5C6EC" w:rsidR="00F86580" w:rsidRPr="00180220" w:rsidRDefault="00C80B7C"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80</w:t>
            </w:r>
            <w:r w:rsidR="00F86580">
              <w:rPr>
                <w:rFonts w:ascii="Arial" w:hAnsi="Arial" w:cs="Arial"/>
                <w:spacing w:val="-3"/>
              </w:rPr>
              <w:t>,000</w:t>
            </w:r>
          </w:p>
        </w:tc>
        <w:tc>
          <w:tcPr>
            <w:tcW w:w="1321" w:type="dxa"/>
            <w:shd w:val="clear" w:color="auto" w:fill="F2F2F2"/>
          </w:tcPr>
          <w:p w14:paraId="1CBACF2D" w14:textId="0352AC59"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shd w:val="clear" w:color="auto" w:fill="F2F2F2"/>
            <w:vAlign w:val="center"/>
          </w:tcPr>
          <w:p w14:paraId="45AAAA11" w14:textId="2DB1B931" w:rsidR="00F86580" w:rsidRPr="00180220" w:rsidRDefault="00ED3EE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768,000</w:t>
            </w:r>
          </w:p>
        </w:tc>
        <w:tc>
          <w:tcPr>
            <w:tcW w:w="1311" w:type="dxa"/>
            <w:shd w:val="clear" w:color="auto" w:fill="F2F2F2"/>
            <w:vAlign w:val="center"/>
          </w:tcPr>
          <w:p w14:paraId="3F4B3B46" w14:textId="46566BE0" w:rsidR="00F86580" w:rsidRPr="00180220" w:rsidRDefault="00ED3EE0"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w:t>
            </w:r>
            <w:r w:rsidR="00F86A38">
              <w:rPr>
                <w:rFonts w:ascii="Arial" w:hAnsi="Arial" w:cs="Arial"/>
                <w:spacing w:val="-3"/>
              </w:rPr>
              <w:t>%</w:t>
            </w:r>
          </w:p>
        </w:tc>
      </w:tr>
      <w:tr w:rsidR="00C80B7C" w:rsidRPr="00180220" w14:paraId="5AC8189E" w14:textId="77777777" w:rsidTr="00D61AE1">
        <w:trPr>
          <w:jc w:val="center"/>
        </w:trPr>
        <w:tc>
          <w:tcPr>
            <w:tcW w:w="1548" w:type="dxa"/>
            <w:shd w:val="clear" w:color="auto" w:fill="F2F2F2"/>
          </w:tcPr>
          <w:p w14:paraId="26DCA56C" w14:textId="00470DBE" w:rsidR="00C80B7C" w:rsidRPr="00097777" w:rsidRDefault="00C80B7C" w:rsidP="00C80B7C">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Pr>
                <w:rFonts w:ascii="Arial" w:hAnsi="Arial" w:cs="Arial"/>
                <w:b/>
                <w:spacing w:val="-3"/>
              </w:rPr>
              <w:t>1000</w:t>
            </w:r>
          </w:p>
        </w:tc>
        <w:tc>
          <w:tcPr>
            <w:tcW w:w="1170" w:type="dxa"/>
            <w:shd w:val="clear" w:color="auto" w:fill="F2F2F2"/>
          </w:tcPr>
          <w:p w14:paraId="79C2E6ED" w14:textId="7F685043" w:rsidR="00C80B7C" w:rsidRPr="00573CE9" w:rsidRDefault="00C80B7C"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w:t>
            </w:r>
            <w:r w:rsidR="00E7575D">
              <w:rPr>
                <w:rFonts w:ascii="Arial" w:hAnsi="Arial" w:cs="Arial"/>
                <w:spacing w:val="-3"/>
              </w:rPr>
              <w:t>/LP</w:t>
            </w:r>
          </w:p>
        </w:tc>
        <w:tc>
          <w:tcPr>
            <w:tcW w:w="1222" w:type="dxa"/>
            <w:shd w:val="clear" w:color="auto" w:fill="F2F2F2"/>
            <w:vAlign w:val="center"/>
          </w:tcPr>
          <w:p w14:paraId="45220D9E" w14:textId="77EA2526" w:rsidR="00C80B7C" w:rsidRPr="00180220" w:rsidRDefault="00C80B7C"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of IV</w:t>
            </w:r>
          </w:p>
        </w:tc>
        <w:tc>
          <w:tcPr>
            <w:tcW w:w="1293" w:type="dxa"/>
            <w:shd w:val="clear" w:color="auto" w:fill="F2F2F2"/>
            <w:vAlign w:val="center"/>
          </w:tcPr>
          <w:p w14:paraId="46713DD7" w14:textId="6E8842A2" w:rsidR="00C80B7C" w:rsidRDefault="00C80B7C"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1,000,000</w:t>
            </w:r>
          </w:p>
        </w:tc>
        <w:tc>
          <w:tcPr>
            <w:tcW w:w="1271" w:type="dxa"/>
            <w:shd w:val="clear" w:color="auto" w:fill="F2F2F2"/>
            <w:vAlign w:val="center"/>
          </w:tcPr>
          <w:p w14:paraId="015E39F9" w14:textId="673ED2A6" w:rsidR="00C80B7C" w:rsidRDefault="00C80B7C"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100,000</w:t>
            </w:r>
          </w:p>
        </w:tc>
        <w:tc>
          <w:tcPr>
            <w:tcW w:w="1321" w:type="dxa"/>
            <w:shd w:val="clear" w:color="auto" w:fill="F2F2F2"/>
          </w:tcPr>
          <w:p w14:paraId="16E2C945" w14:textId="6809ACD7" w:rsidR="00C80B7C" w:rsidRPr="00892A9B" w:rsidRDefault="00C80B7C"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10:1</w:t>
            </w:r>
          </w:p>
        </w:tc>
        <w:tc>
          <w:tcPr>
            <w:tcW w:w="1406" w:type="dxa"/>
            <w:shd w:val="clear" w:color="auto" w:fill="F2F2F2"/>
            <w:vAlign w:val="center"/>
          </w:tcPr>
          <w:p w14:paraId="15501E4F" w14:textId="7C12C8E9" w:rsidR="00C80B7C" w:rsidRDefault="00ED3EE0"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960,000</w:t>
            </w:r>
          </w:p>
        </w:tc>
        <w:tc>
          <w:tcPr>
            <w:tcW w:w="1311" w:type="dxa"/>
            <w:shd w:val="clear" w:color="auto" w:fill="F2F2F2"/>
            <w:vAlign w:val="center"/>
          </w:tcPr>
          <w:p w14:paraId="3DA76B31" w14:textId="0BA105D4" w:rsidR="00C80B7C" w:rsidRDefault="00ED3EE0" w:rsidP="00C80B7C">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w:t>
            </w: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180220" w:rsidRDefault="00361C39">
      <w:pPr>
        <w:rPr>
          <w:rFonts w:ascii="Arial" w:hAnsi="Arial" w:cs="Arial"/>
          <w:sz w:val="24"/>
          <w:szCs w:val="24"/>
        </w:rPr>
      </w:pPr>
      <w:r w:rsidRPr="00180220">
        <w:rPr>
          <w:rFonts w:ascii="Arial" w:hAnsi="Arial" w:cs="Arial"/>
          <w:sz w:val="24"/>
          <w:szCs w:val="24"/>
        </w:rPr>
        <w:br w:type="page"/>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lastRenderedPageBreak/>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C21DC6">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5BA29079"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(minimum 16 Gauge) with</w:t>
      </w:r>
      <w:r>
        <w:rPr>
          <w:rFonts w:ascii="Arial" w:hAnsi="Arial" w:cs="Arial"/>
          <w:sz w:val="24"/>
          <w:szCs w:val="24"/>
        </w:rPr>
        <w:t xml:space="preserve"> powder coat finish.</w:t>
      </w:r>
    </w:p>
    <w:p w14:paraId="185541D9" w14:textId="524401A8" w:rsidR="00672F9A" w:rsidRDefault="00672F9A"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not exceed </w:t>
      </w:r>
      <w:r w:rsidR="00FE60F6">
        <w:rPr>
          <w:rFonts w:ascii="Arial" w:hAnsi="Arial" w:cs="Arial"/>
          <w:sz w:val="24"/>
          <w:szCs w:val="24"/>
        </w:rPr>
        <w:t>32</w:t>
      </w:r>
      <w:r>
        <w:rPr>
          <w:rFonts w:ascii="Arial" w:hAnsi="Arial" w:cs="Arial"/>
          <w:sz w:val="24"/>
          <w:szCs w:val="24"/>
        </w:rPr>
        <w:t xml:space="preserve">” in width and the completed boiler shall fit through a standard </w:t>
      </w:r>
      <w:r w:rsidR="00290863">
        <w:rPr>
          <w:rFonts w:ascii="Arial" w:hAnsi="Arial" w:cs="Arial"/>
          <w:sz w:val="24"/>
          <w:szCs w:val="24"/>
        </w:rPr>
        <w:t>double</w:t>
      </w:r>
      <w:r>
        <w:rPr>
          <w:rFonts w:ascii="Arial" w:hAnsi="Arial" w:cs="Arial"/>
          <w:sz w:val="24"/>
          <w:szCs w:val="24"/>
        </w:rPr>
        <w:t xml:space="preserve"> doorway.</w:t>
      </w:r>
    </w:p>
    <w:p w14:paraId="3B6CE0F6" w14:textId="0606ECC6"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that can be easily opened.</w:t>
      </w:r>
    </w:p>
    <w:p w14:paraId="4CD171D9" w14:textId="3F2C7F66"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refractory or other insulating materials by baffling the combustion air around the heat exchanger </w:t>
      </w:r>
      <w:r w:rsidR="00956C07">
        <w:rPr>
          <w:rFonts w:ascii="Arial" w:hAnsi="Arial" w:cs="Arial"/>
          <w:sz w:val="24"/>
          <w:szCs w:val="24"/>
        </w:rPr>
        <w:t>and the outer 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6FFA03C9" w14:textId="2CB4EA18" w:rsidR="00956C07" w:rsidRDefault="00956C07"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7D682CD0" w14:textId="77777777" w:rsidR="00864EF6" w:rsidRPr="00313CB4"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8704DA" w:rsidRDefault="00D4225F" w:rsidP="00C21DC6">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1F5F44CF" w:rsidR="00E25C89" w:rsidRPr="00313CB4"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EF5C90">
        <w:rPr>
          <w:rFonts w:ascii="Arial" w:hAnsi="Arial" w:cs="Arial"/>
          <w:sz w:val="24"/>
          <w:szCs w:val="24"/>
        </w:rPr>
        <w:t>10</w:t>
      </w:r>
      <w:r w:rsidRPr="00313CB4">
        <w:rPr>
          <w:rFonts w:ascii="Calibri" w:hAnsi="Calibri" w:cs="Arial"/>
          <w:sz w:val="24"/>
          <w:szCs w:val="24"/>
        </w:rPr>
        <w:t>°</w:t>
      </w:r>
      <w:r w:rsidRPr="00313CB4">
        <w:rPr>
          <w:rFonts w:ascii="Arial" w:hAnsi="Arial" w:cs="Arial"/>
          <w:sz w:val="24"/>
          <w:szCs w:val="24"/>
        </w:rPr>
        <w:t>F.</w:t>
      </w:r>
    </w:p>
    <w:p w14:paraId="322CF832" w14:textId="77777777"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shall consist </w:t>
      </w:r>
      <w:r>
        <w:rPr>
          <w:rFonts w:ascii="Arial" w:hAnsi="Arial" w:cs="Arial"/>
          <w:sz w:val="24"/>
          <w:szCs w:val="24"/>
        </w:rPr>
        <w:t xml:space="preserve">of welded </w:t>
      </w:r>
      <w:r w:rsidRPr="00CB70ED">
        <w:rPr>
          <w:rFonts w:ascii="Arial" w:hAnsi="Arial" w:cs="Arial"/>
          <w:sz w:val="24"/>
          <w:szCs w:val="24"/>
        </w:rPr>
        <w:t>316L SS</w:t>
      </w:r>
      <w:r>
        <w:rPr>
          <w:rFonts w:ascii="Arial" w:hAnsi="Arial" w:cs="Arial"/>
          <w:sz w:val="24"/>
          <w:szCs w:val="24"/>
        </w:rPr>
        <w:t xml:space="preserve"> helical 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510"/>
        <w:gridCol w:w="1536"/>
        <w:gridCol w:w="1536"/>
        <w:gridCol w:w="1416"/>
      </w:tblGrid>
      <w:tr w:rsidR="00E420D0" w:rsidRPr="00180220" w14:paraId="7CC1C7D8" w14:textId="437F198C" w:rsidTr="00DE6D1C">
        <w:trPr>
          <w:jc w:val="center"/>
        </w:trPr>
        <w:tc>
          <w:tcPr>
            <w:tcW w:w="2510" w:type="dxa"/>
            <w:shd w:val="clear" w:color="auto" w:fill="F2F2F2" w:themeFill="background1" w:themeFillShade="F2"/>
            <w:vAlign w:val="center"/>
          </w:tcPr>
          <w:p w14:paraId="023A5EEC" w14:textId="77777777" w:rsidR="00E420D0" w:rsidRPr="00180220" w:rsidRDefault="00E420D0" w:rsidP="00287954">
            <w:pPr>
              <w:spacing w:before="60" w:after="60"/>
              <w:jc w:val="center"/>
              <w:rPr>
                <w:rFonts w:ascii="Arial" w:hAnsi="Arial" w:cs="Arial"/>
                <w:b/>
              </w:rPr>
            </w:pPr>
          </w:p>
        </w:tc>
        <w:tc>
          <w:tcPr>
            <w:tcW w:w="1536" w:type="dxa"/>
            <w:shd w:val="clear" w:color="auto" w:fill="F2F2F2" w:themeFill="background1" w:themeFillShade="F2"/>
            <w:vAlign w:val="center"/>
          </w:tcPr>
          <w:p w14:paraId="75ADDC64" w14:textId="295B2A64" w:rsidR="00E420D0" w:rsidRPr="00290863" w:rsidRDefault="00E420D0" w:rsidP="00287954">
            <w:pPr>
              <w:spacing w:before="60" w:after="60"/>
              <w:jc w:val="center"/>
              <w:rPr>
                <w:rFonts w:ascii="Arial" w:hAnsi="Arial" w:cs="Arial"/>
                <w:b/>
              </w:rPr>
            </w:pPr>
            <w:r>
              <w:rPr>
                <w:rFonts w:ascii="Arial" w:hAnsi="Arial" w:cs="Arial"/>
                <w:b/>
              </w:rPr>
              <w:t>ST65</w:t>
            </w:r>
            <w:r w:rsidRPr="00290863">
              <w:rPr>
                <w:rFonts w:ascii="Arial" w:hAnsi="Arial" w:cs="Arial"/>
                <w:b/>
              </w:rPr>
              <w:t>0</w:t>
            </w:r>
          </w:p>
        </w:tc>
        <w:tc>
          <w:tcPr>
            <w:tcW w:w="1536" w:type="dxa"/>
            <w:shd w:val="clear" w:color="auto" w:fill="F2F2F2" w:themeFill="background1" w:themeFillShade="F2"/>
            <w:vAlign w:val="center"/>
          </w:tcPr>
          <w:p w14:paraId="29ECCEAF" w14:textId="7B5A23B0" w:rsidR="00E420D0" w:rsidRPr="00290863" w:rsidRDefault="00E420D0" w:rsidP="00287954">
            <w:pPr>
              <w:spacing w:before="60" w:after="60"/>
              <w:jc w:val="center"/>
              <w:rPr>
                <w:rFonts w:ascii="Arial" w:hAnsi="Arial" w:cs="Arial"/>
                <w:b/>
              </w:rPr>
            </w:pPr>
            <w:r>
              <w:rPr>
                <w:rFonts w:ascii="Arial" w:hAnsi="Arial" w:cs="Arial"/>
                <w:b/>
              </w:rPr>
              <w:t>ST8</w:t>
            </w:r>
            <w:r w:rsidRPr="00290863">
              <w:rPr>
                <w:rFonts w:ascii="Arial" w:hAnsi="Arial" w:cs="Arial"/>
                <w:b/>
              </w:rPr>
              <w:t>00</w:t>
            </w:r>
          </w:p>
        </w:tc>
        <w:tc>
          <w:tcPr>
            <w:tcW w:w="1416" w:type="dxa"/>
            <w:shd w:val="clear" w:color="auto" w:fill="F2F2F2" w:themeFill="background1" w:themeFillShade="F2"/>
          </w:tcPr>
          <w:p w14:paraId="7E03DE9B" w14:textId="459E0FC2" w:rsidR="00E420D0" w:rsidRDefault="00E420D0" w:rsidP="00287954">
            <w:pPr>
              <w:spacing w:before="60" w:after="60"/>
              <w:jc w:val="center"/>
              <w:rPr>
                <w:rFonts w:ascii="Arial" w:hAnsi="Arial" w:cs="Arial"/>
                <w:b/>
              </w:rPr>
            </w:pPr>
            <w:r>
              <w:rPr>
                <w:rFonts w:ascii="Arial" w:hAnsi="Arial" w:cs="Arial"/>
                <w:b/>
              </w:rPr>
              <w:t>ST10</w:t>
            </w:r>
            <w:r w:rsidRPr="00290863">
              <w:rPr>
                <w:rFonts w:ascii="Arial" w:hAnsi="Arial" w:cs="Arial"/>
                <w:b/>
              </w:rPr>
              <w:t>00</w:t>
            </w:r>
          </w:p>
        </w:tc>
      </w:tr>
      <w:tr w:rsidR="00E420D0" w:rsidRPr="00180220" w14:paraId="4D6C5D23" w14:textId="757FDCD6" w:rsidTr="00DE6D1C">
        <w:trPr>
          <w:jc w:val="center"/>
        </w:trPr>
        <w:tc>
          <w:tcPr>
            <w:tcW w:w="2510" w:type="dxa"/>
            <w:vAlign w:val="center"/>
          </w:tcPr>
          <w:p w14:paraId="311C931E" w14:textId="77777777" w:rsidR="00E420D0" w:rsidRPr="00DA6BC7" w:rsidRDefault="00E420D0" w:rsidP="00287954">
            <w:pPr>
              <w:spacing w:before="60" w:after="60"/>
              <w:jc w:val="center"/>
              <w:rPr>
                <w:rFonts w:ascii="Arial" w:hAnsi="Arial" w:cs="Arial"/>
                <w:color w:val="FFFF00"/>
              </w:rPr>
            </w:pPr>
            <w:r>
              <w:rPr>
                <w:rFonts w:ascii="Arial" w:hAnsi="Arial" w:cs="Arial"/>
              </w:rPr>
              <w:t xml:space="preserve">Heating </w:t>
            </w:r>
            <w:r w:rsidRPr="00180220">
              <w:rPr>
                <w:rFonts w:ascii="Arial" w:hAnsi="Arial" w:cs="Arial"/>
              </w:rPr>
              <w:t>Surface Area</w:t>
            </w:r>
          </w:p>
        </w:tc>
        <w:tc>
          <w:tcPr>
            <w:tcW w:w="1536" w:type="dxa"/>
            <w:vAlign w:val="center"/>
          </w:tcPr>
          <w:p w14:paraId="14E172B6" w14:textId="527954C0" w:rsidR="00E420D0" w:rsidRPr="00290863" w:rsidRDefault="00E420D0" w:rsidP="00287954">
            <w:pPr>
              <w:spacing w:before="60" w:after="60"/>
              <w:jc w:val="center"/>
              <w:rPr>
                <w:rFonts w:ascii="Arial" w:hAnsi="Arial" w:cs="Arial"/>
              </w:rPr>
            </w:pPr>
            <w:r>
              <w:rPr>
                <w:rFonts w:ascii="Arial" w:hAnsi="Arial" w:cs="Arial"/>
              </w:rPr>
              <w:t>52.2 ft.²</w:t>
            </w:r>
          </w:p>
        </w:tc>
        <w:tc>
          <w:tcPr>
            <w:tcW w:w="1536" w:type="dxa"/>
            <w:vAlign w:val="center"/>
          </w:tcPr>
          <w:p w14:paraId="27FA6E76" w14:textId="2D772D69" w:rsidR="00E420D0" w:rsidRPr="00290863" w:rsidRDefault="00E420D0" w:rsidP="00287954">
            <w:pPr>
              <w:spacing w:before="60" w:after="60"/>
              <w:jc w:val="center"/>
              <w:rPr>
                <w:rFonts w:ascii="Arial" w:hAnsi="Arial" w:cs="Arial"/>
              </w:rPr>
            </w:pPr>
            <w:r>
              <w:rPr>
                <w:rFonts w:ascii="Arial" w:hAnsi="Arial" w:cs="Arial"/>
              </w:rPr>
              <w:t>60.9 ft.²</w:t>
            </w:r>
          </w:p>
        </w:tc>
        <w:tc>
          <w:tcPr>
            <w:tcW w:w="1416" w:type="dxa"/>
          </w:tcPr>
          <w:p w14:paraId="4547F9C0" w14:textId="02BFFA2D" w:rsidR="00E420D0" w:rsidRPr="00290863" w:rsidRDefault="00E420D0" w:rsidP="00287954">
            <w:pPr>
              <w:spacing w:before="60" w:after="60"/>
              <w:jc w:val="center"/>
              <w:rPr>
                <w:rFonts w:ascii="Arial" w:hAnsi="Arial" w:cs="Arial"/>
              </w:rPr>
            </w:pPr>
            <w:r>
              <w:rPr>
                <w:rFonts w:ascii="Arial" w:hAnsi="Arial" w:cs="Arial"/>
              </w:rPr>
              <w:t>75.4 ft.²</w:t>
            </w:r>
          </w:p>
        </w:tc>
      </w:tr>
      <w:tr w:rsidR="00E420D0" w:rsidRPr="00180220" w14:paraId="62EEA3C2" w14:textId="77777777" w:rsidTr="00DE6D1C">
        <w:trPr>
          <w:jc w:val="center"/>
        </w:trPr>
        <w:tc>
          <w:tcPr>
            <w:tcW w:w="2510" w:type="dxa"/>
            <w:vAlign w:val="center"/>
          </w:tcPr>
          <w:p w14:paraId="4E9FB034" w14:textId="20399069" w:rsidR="00E420D0" w:rsidRDefault="00E420D0" w:rsidP="00287954">
            <w:pPr>
              <w:spacing w:before="60" w:after="60"/>
              <w:jc w:val="center"/>
              <w:rPr>
                <w:rFonts w:ascii="Arial" w:hAnsi="Arial" w:cs="Arial"/>
              </w:rPr>
            </w:pPr>
            <w:r>
              <w:rPr>
                <w:rFonts w:ascii="Arial" w:hAnsi="Arial" w:cs="Arial"/>
              </w:rPr>
              <w:t>Wet Surface Area</w:t>
            </w:r>
          </w:p>
        </w:tc>
        <w:tc>
          <w:tcPr>
            <w:tcW w:w="1536" w:type="dxa"/>
            <w:vAlign w:val="center"/>
          </w:tcPr>
          <w:p w14:paraId="162715DD" w14:textId="54D42941" w:rsidR="00E420D0" w:rsidRDefault="00E420D0" w:rsidP="00287954">
            <w:pPr>
              <w:spacing w:before="60" w:after="60"/>
              <w:jc w:val="center"/>
              <w:rPr>
                <w:rFonts w:ascii="Arial" w:hAnsi="Arial" w:cs="Arial"/>
              </w:rPr>
            </w:pPr>
            <w:r>
              <w:rPr>
                <w:rFonts w:ascii="Arial" w:hAnsi="Arial" w:cs="Arial"/>
              </w:rPr>
              <w:t>47.25 ft.²</w:t>
            </w:r>
          </w:p>
        </w:tc>
        <w:tc>
          <w:tcPr>
            <w:tcW w:w="1536" w:type="dxa"/>
            <w:vAlign w:val="center"/>
          </w:tcPr>
          <w:p w14:paraId="747E7A8D" w14:textId="23459F03" w:rsidR="00E420D0" w:rsidRDefault="00E420D0" w:rsidP="00287954">
            <w:pPr>
              <w:spacing w:before="60" w:after="60"/>
              <w:jc w:val="center"/>
              <w:rPr>
                <w:rFonts w:ascii="Arial" w:hAnsi="Arial" w:cs="Arial"/>
              </w:rPr>
            </w:pPr>
            <w:r>
              <w:rPr>
                <w:rFonts w:ascii="Arial" w:hAnsi="Arial" w:cs="Arial"/>
              </w:rPr>
              <w:t>55.12 ft.²</w:t>
            </w:r>
          </w:p>
        </w:tc>
        <w:tc>
          <w:tcPr>
            <w:tcW w:w="1416" w:type="dxa"/>
          </w:tcPr>
          <w:p w14:paraId="33306710" w14:textId="67869FF4" w:rsidR="00E420D0" w:rsidRDefault="00E420D0" w:rsidP="00287954">
            <w:pPr>
              <w:spacing w:before="60" w:after="60"/>
              <w:jc w:val="center"/>
              <w:rPr>
                <w:rFonts w:ascii="Arial" w:hAnsi="Arial" w:cs="Arial"/>
              </w:rPr>
            </w:pPr>
            <w:r>
              <w:rPr>
                <w:rFonts w:ascii="Arial" w:hAnsi="Arial" w:cs="Arial"/>
              </w:rPr>
              <w:t>68.24 ft.²</w:t>
            </w:r>
          </w:p>
        </w:tc>
      </w:tr>
    </w:tbl>
    <w:p w14:paraId="513DF15D" w14:textId="77777777" w:rsidR="00EF5C90" w:rsidRPr="00B204A5" w:rsidRDefault="00EF5C90" w:rsidP="00EF5C90">
      <w:pPr>
        <w:spacing w:after="100" w:line="240" w:lineRule="auto"/>
        <w:rPr>
          <w:rFonts w:ascii="Arial" w:hAnsi="Arial" w:cs="Arial"/>
          <w:sz w:val="24"/>
          <w:szCs w:val="24"/>
        </w:rPr>
      </w:pPr>
    </w:p>
    <w:p w14:paraId="50615AF8" w14:textId="3D79A2BE"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 xml:space="preserve">Each completed heat exchanger shall include an integral </w:t>
      </w:r>
      <w:r w:rsidR="00794D02">
        <w:rPr>
          <w:rFonts w:ascii="Arial" w:hAnsi="Arial" w:cs="Arial"/>
          <w:sz w:val="24"/>
          <w:szCs w:val="24"/>
        </w:rPr>
        <w:t>stainless-steel</w:t>
      </w:r>
      <w:r>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46B7ED1B"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 xml:space="preserve">Each </w:t>
      </w:r>
      <w:r w:rsidR="00794D02">
        <w:rPr>
          <w:rFonts w:ascii="Arial" w:hAnsi="Arial" w:cs="Arial"/>
          <w:sz w:val="24"/>
          <w:szCs w:val="24"/>
        </w:rPr>
        <w:t>stainless-steel</w:t>
      </w:r>
      <w:r w:rsidRPr="00313CB4">
        <w:rPr>
          <w:rFonts w:ascii="Arial" w:hAnsi="Arial" w:cs="Arial"/>
          <w:sz w:val="24"/>
          <w:szCs w:val="24"/>
        </w:rPr>
        <w:t xml:space="preserve"> heat exchanger shall be designed to maintain water turbulence at the full published range of acceptable flow rates at various boiler conditions as described below:</w:t>
      </w:r>
    </w:p>
    <w:p w14:paraId="0C89AE29" w14:textId="77777777" w:rsidR="00EF5C90" w:rsidRPr="00313CB4"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18EB187D" w14:textId="704EC66E" w:rsidR="00EF5C90" w:rsidRPr="007C029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lastRenderedPageBreak/>
        <w:t xml:space="preserve">The minimum allowable flow rate </w:t>
      </w:r>
      <w:r w:rsidR="00FE60F6">
        <w:rPr>
          <w:rFonts w:ascii="Arial" w:hAnsi="Arial" w:cs="Arial"/>
          <w:sz w:val="24"/>
          <w:szCs w:val="24"/>
        </w:rPr>
        <w:t>will generate a 7</w:t>
      </w:r>
      <w:r w:rsidR="002C7216">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0E1732BA" w14:textId="77777777"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boiler’s completed heat exchanger shall be capable of operating with a minimum outlet water temperature of </w:t>
      </w:r>
      <w:r>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2B01CFB4" w14:textId="77777777" w:rsidR="00EF5C90" w:rsidRPr="00F53077" w:rsidRDefault="00EF5C90" w:rsidP="00C21DC6">
      <w:pPr>
        <w:pStyle w:val="ListParagraph"/>
        <w:numPr>
          <w:ilvl w:val="0"/>
          <w:numId w:val="26"/>
        </w:numPr>
        <w:spacing w:line="240" w:lineRule="auto"/>
        <w:ind w:left="1800"/>
        <w:contextualSpacing w:val="0"/>
        <w:rPr>
          <w:rFonts w:ascii="Arial" w:hAnsi="Arial" w:cs="Arial"/>
          <w:sz w:val="24"/>
          <w:szCs w:val="24"/>
        </w:rPr>
      </w:pPr>
      <w:r w:rsidRPr="001D02E5">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Default="00864EF6">
      <w:pPr>
        <w:rPr>
          <w:rFonts w:ascii="Arial" w:hAnsi="Arial" w:cs="Arial"/>
          <w:b/>
          <w:sz w:val="24"/>
          <w:szCs w:val="24"/>
        </w:rPr>
      </w:pPr>
    </w:p>
    <w:p w14:paraId="4ABE9CD1" w14:textId="0FEC82D5" w:rsidR="00874B9A" w:rsidRPr="00313CB4" w:rsidRDefault="00053F7D" w:rsidP="00C21DC6">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47DEE528"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Natural Gas.</w:t>
      </w:r>
    </w:p>
    <w:p w14:paraId="41D53A64" w14:textId="4D0A00D4" w:rsidR="00313CB4" w:rsidRPr="003559B1"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Each gas valve train shall include at least the following:</w:t>
      </w:r>
    </w:p>
    <w:p w14:paraId="2C2DF62E"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714CCE8D" w14:textId="13CEA1EE"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w:t>
      </w:r>
    </w:p>
    <w:p w14:paraId="02A2704E" w14:textId="5BB760C3" w:rsidR="00313CB4" w:rsidRPr="00F83FBC" w:rsidRDefault="00313CB4" w:rsidP="00C21DC6">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 xml:space="preserve">3.5 - </w:t>
      </w:r>
      <w:r w:rsidRPr="008704DA">
        <w:rPr>
          <w:rFonts w:ascii="Arial" w:hAnsi="Arial" w:cs="Arial"/>
          <w:spacing w:val="-3"/>
          <w:sz w:val="24"/>
          <w:szCs w:val="24"/>
        </w:rPr>
        <w:t>4.0” W.C. up</w:t>
      </w:r>
      <w:r w:rsidRPr="00F83FBC">
        <w:rPr>
          <w:rFonts w:ascii="Arial" w:hAnsi="Arial" w:cs="Arial"/>
          <w:spacing w:val="-3"/>
          <w:sz w:val="24"/>
          <w:szCs w:val="24"/>
        </w:rPr>
        <w:t xml:space="preserve"> to the maximum inlet gas pressure of 14.0” W.C. </w:t>
      </w:r>
    </w:p>
    <w:p w14:paraId="2EF0760A" w14:textId="30111399" w:rsidR="00313CB4"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1A29AB94" w14:textId="775A2D68" w:rsidR="00EF5C90"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052705"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t>POWER BURNER</w:t>
      </w:r>
    </w:p>
    <w:p w14:paraId="14D539D8" w14:textId="77777777" w:rsidR="00313CB4" w:rsidRPr="00F83FBC" w:rsidRDefault="00313CB4"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F83FBC">
        <w:rPr>
          <w:rFonts w:ascii="Arial" w:hAnsi="Arial" w:cs="Arial"/>
          <w:spacing w:val="-3"/>
          <w:sz w:val="24"/>
          <w:szCs w:val="24"/>
        </w:rPr>
        <w:t>The boiler manufacturer shall furnish an integral power type fuel burner with each boiler.  The complete power fuel burner assembly shall consist of a gas burner, combustion air blower, main gas valve train, and ignition system.  The burner manufacturer shall fully coordinate the burner design with the boiler’s heat exchanger and the boiler control system in order to provide the required capacities, efficiencies, and performance specified.  Boilers shipped without a power burner and field-equipped with a 3</w:t>
      </w:r>
      <w:r w:rsidRPr="00F83FBC">
        <w:rPr>
          <w:rFonts w:ascii="Arial" w:hAnsi="Arial" w:cs="Arial"/>
          <w:spacing w:val="-3"/>
          <w:sz w:val="24"/>
          <w:szCs w:val="24"/>
          <w:vertAlign w:val="superscript"/>
        </w:rPr>
        <w:t>rd</w:t>
      </w:r>
      <w:r w:rsidRPr="00F83FBC">
        <w:rPr>
          <w:rFonts w:ascii="Arial" w:hAnsi="Arial" w:cs="Arial"/>
          <w:spacing w:val="-3"/>
          <w:sz w:val="24"/>
          <w:szCs w:val="24"/>
        </w:rPr>
        <w:t xml:space="preserve"> party power burner are not acceptable.</w:t>
      </w:r>
    </w:p>
    <w:p w14:paraId="514A6A04" w14:textId="77777777" w:rsidR="00F84787" w:rsidRPr="006213E2" w:rsidRDefault="00F84787"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6213E2">
        <w:rPr>
          <w:rFonts w:ascii="Arial" w:hAnsi="Arial" w:cs="Arial"/>
          <w:color w:val="000000" w:themeColor="text1"/>
          <w:spacing w:val="-3"/>
          <w:sz w:val="24"/>
          <w:szCs w:val="24"/>
        </w:rPr>
        <w:t xml:space="preserve">Each burner shall be </w:t>
      </w:r>
      <w:r>
        <w:rPr>
          <w:rFonts w:ascii="Arial" w:hAnsi="Arial" w:cs="Arial"/>
          <w:color w:val="000000" w:themeColor="text1"/>
          <w:spacing w:val="-3"/>
          <w:sz w:val="24"/>
          <w:szCs w:val="24"/>
        </w:rPr>
        <w:t>installed horizontally inside t</w:t>
      </w:r>
      <w:r w:rsidRPr="006213E2">
        <w:rPr>
          <w:rFonts w:ascii="Arial" w:hAnsi="Arial" w:cs="Arial"/>
          <w:color w:val="000000" w:themeColor="text1"/>
          <w:spacing w:val="-3"/>
          <w:sz w:val="24"/>
          <w:szCs w:val="24"/>
        </w:rPr>
        <w:t>he combustion chamber with combustion gases flowing downward through the heat exchanger</w:t>
      </w:r>
      <w:r>
        <w:rPr>
          <w:rFonts w:ascii="Arial" w:hAnsi="Arial" w:cs="Arial"/>
          <w:color w:val="000000" w:themeColor="text1"/>
          <w:spacing w:val="-3"/>
          <w:sz w:val="24"/>
          <w:szCs w:val="24"/>
        </w:rPr>
        <w:t xml:space="preserve">.  The burner shall consist of a stainless steel flange and </w:t>
      </w:r>
      <w:r w:rsidRPr="006213E2">
        <w:rPr>
          <w:rFonts w:ascii="Arial" w:hAnsi="Arial" w:cs="Arial"/>
          <w:color w:val="000000" w:themeColor="text1"/>
          <w:spacing w:val="-3"/>
          <w:sz w:val="24"/>
          <w:szCs w:val="24"/>
        </w:rPr>
        <w:t xml:space="preserve">perforated stainless steel </w:t>
      </w:r>
      <w:r>
        <w:rPr>
          <w:rFonts w:ascii="Arial" w:hAnsi="Arial" w:cs="Arial"/>
          <w:color w:val="000000" w:themeColor="text1"/>
          <w:spacing w:val="-3"/>
          <w:sz w:val="24"/>
          <w:szCs w:val="24"/>
        </w:rPr>
        <w:t>cylinder.</w:t>
      </w:r>
    </w:p>
    <w:p w14:paraId="2CD9C932" w14:textId="044DF2B9" w:rsidR="00052705" w:rsidRDefault="00052705" w:rsidP="00C21DC6">
      <w:pPr>
        <w:pStyle w:val="ListParagraph"/>
        <w:keepLines/>
        <w:numPr>
          <w:ilvl w:val="3"/>
          <w:numId w:val="14"/>
        </w:numPr>
        <w:tabs>
          <w:tab w:val="left" w:pos="-720"/>
          <w:tab w:val="left" w:pos="1440"/>
        </w:tabs>
        <w:suppressAutoHyphens/>
        <w:spacing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Each boiler shall be equipped with direct spark ignition.  Main flame shall be monitored and controlled by a </w:t>
      </w:r>
      <w:r>
        <w:rPr>
          <w:rFonts w:ascii="Arial" w:hAnsi="Arial" w:cs="Arial"/>
          <w:spacing w:val="-3"/>
          <w:sz w:val="24"/>
          <w:szCs w:val="24"/>
        </w:rPr>
        <w:t>flame rod / ionization probe (rectification) system</w:t>
      </w:r>
      <w:r w:rsidRPr="00F83FBC">
        <w:rPr>
          <w:rFonts w:ascii="Arial" w:hAnsi="Arial" w:cs="Arial"/>
          <w:spacing w:val="-3"/>
          <w:sz w:val="24"/>
          <w:szCs w:val="24"/>
        </w:rPr>
        <w:t>.</w:t>
      </w:r>
    </w:p>
    <w:p w14:paraId="3D655E67" w14:textId="77777777" w:rsidR="00F84787" w:rsidRPr="00B04FDC"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77777777" w:rsidR="00917EA1" w:rsidRPr="00052705" w:rsidRDefault="00874B9A"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77777777" w:rsidR="005318BC" w:rsidRPr="00180220"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p>
    <w:p w14:paraId="0C15965B"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Emergency Stop (E-Stop) switch.</w:t>
      </w:r>
    </w:p>
    <w:p w14:paraId="4F8F934B" w14:textId="77777777" w:rsidR="00937C40" w:rsidRPr="0018022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lastRenderedPageBreak/>
        <w:t>External Safety Device w/ contact closure.</w:t>
      </w:r>
    </w:p>
    <w:p w14:paraId="2B9596FE" w14:textId="77777777" w:rsidR="00D4225F" w:rsidRPr="00052705" w:rsidRDefault="00D4225F" w:rsidP="00C21DC6">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BOILER CONTROL SYSTEM</w:t>
      </w:r>
    </w:p>
    <w:p w14:paraId="6504C21F" w14:textId="77777777"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0298149A" w14:textId="77777777"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Each boiler shall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77777777" w:rsidR="00C21DC6" w:rsidRDefault="00C21DC6" w:rsidP="00C21DC6">
      <w:pPr>
        <w:numPr>
          <w:ilvl w:val="0"/>
          <w:numId w:val="27"/>
        </w:numPr>
        <w:spacing w:line="240" w:lineRule="auto"/>
        <w:contextualSpacing/>
        <w:rPr>
          <w:rFonts w:ascii="Arial" w:eastAsia="Times New Roman" w:hAnsi="Arial" w:cs="Arial"/>
          <w:sz w:val="24"/>
          <w:szCs w:val="24"/>
        </w:rPr>
      </w:pPr>
      <w:r>
        <w:rPr>
          <w:rFonts w:ascii="Arial" w:eastAsia="Times New Roman" w:hAnsi="Arial" w:cs="Arial"/>
          <w:sz w:val="24"/>
          <w:szCs w:val="24"/>
        </w:rPr>
        <w:t>The boiler’s control system shall provide the minimum capabilities:</w:t>
      </w:r>
    </w:p>
    <w:p w14:paraId="0567222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7” color touchscreen display with one or more USB ports.</w:t>
      </w:r>
    </w:p>
    <w:p w14:paraId="60967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Standard on-board Ethernet port for wired internet connectivity.</w:t>
      </w:r>
    </w:p>
    <w:p w14:paraId="07E75BA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Parameter uploads and downloads via external USB flash drive.</w:t>
      </w:r>
    </w:p>
    <w:p w14:paraId="51B3912C"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Software updates via external USB flash drive.</w:t>
      </w:r>
    </w:p>
    <w:p w14:paraId="70D522B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Capture screen shots from the control’s display by saving digital image files to external USB flash drive.</w:t>
      </w:r>
    </w:p>
    <w:p w14:paraId="3BA1CF9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Relay Outputs for direct control of pumps, control valves, dampers and other auxiliary devices.</w:t>
      </w:r>
    </w:p>
    <w:p w14:paraId="01DAB80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Auxiliary Boiler Relay for multiple boiler “cascade” systems which can be used to enable a 3</w:t>
      </w:r>
      <w:r>
        <w:rPr>
          <w:rFonts w:ascii="Arial" w:hAnsi="Arial" w:cs="Arial"/>
          <w:spacing w:val="-3"/>
          <w:sz w:val="24"/>
          <w:szCs w:val="24"/>
          <w:vertAlign w:val="superscript"/>
        </w:rPr>
        <w:t>rd</w:t>
      </w:r>
      <w:r>
        <w:rPr>
          <w:rFonts w:ascii="Arial" w:hAnsi="Arial" w:cs="Arial"/>
          <w:spacing w:val="-3"/>
          <w:sz w:val="24"/>
          <w:szCs w:val="24"/>
        </w:rPr>
        <w:t xml:space="preserve"> party boiler platform in the event the “cascade” system is unable to satisfy the heating load.</w:t>
      </w:r>
    </w:p>
    <w:p w14:paraId="0EC648A1"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synchronization of exhaust fan timing to equal the real-time burner firing rate.</w:t>
      </w:r>
    </w:p>
    <w:p w14:paraId="1015B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5 Pre-installed PID control speeds for system optimization in addition to a user-defined PID function capability.</w:t>
      </w:r>
    </w:p>
    <w:p w14:paraId="2CA15E9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Integration with external Building Management Systems (BMS) via MODBUS</w:t>
      </w:r>
      <w:r>
        <w:rPr>
          <w:rFonts w:ascii="Arial" w:hAnsi="Arial" w:cs="Arial"/>
          <w:spacing w:val="-3"/>
          <w:sz w:val="24"/>
          <w:szCs w:val="24"/>
          <w:vertAlign w:val="superscript"/>
        </w:rPr>
        <w:t>®</w:t>
      </w:r>
      <w:r>
        <w:rPr>
          <w:rFonts w:ascii="Arial" w:hAnsi="Arial" w:cs="Arial"/>
          <w:spacing w:val="-3"/>
          <w:sz w:val="24"/>
          <w:szCs w:val="24"/>
        </w:rPr>
        <w:t xml:space="preserve"> RTU protocol.  </w:t>
      </w:r>
      <w:r>
        <w:rPr>
          <w:rFonts w:ascii="Arial" w:hAnsi="Arial" w:cs="Arial"/>
          <w:b/>
          <w:bCs/>
          <w:spacing w:val="-3"/>
          <w:sz w:val="24"/>
          <w:szCs w:val="24"/>
        </w:rPr>
        <w:t>NOTE:</w:t>
      </w:r>
      <w:r>
        <w:rPr>
          <w:rFonts w:ascii="Arial" w:hAnsi="Arial" w:cs="Arial"/>
          <w:spacing w:val="-3"/>
          <w:sz w:val="24"/>
          <w:szCs w:val="24"/>
        </w:rPr>
        <w:t xml:space="preserve"> 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BACnet</w:t>
      </w:r>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45B61A9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lastRenderedPageBreak/>
        <w:t>Hardwire integration with Building Management Systems (BMS) via 4-20mA analog control signal for temperature or firing rate control.</w:t>
      </w:r>
    </w:p>
    <w:p w14:paraId="762645D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differential temperature compensation to prevent over-firing of the boiler equipment in a low flow condition.</w:t>
      </w:r>
    </w:p>
    <w:p w14:paraId="23AC092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Night Setback functionality via external point of closure (or BMS integration) for unique “Occupied” and “Unoccupied” temperature setpoint values.  Setback feature will include the ability to schedule multiple adjustments within a 24-hour period for building optimization.</w:t>
      </w:r>
    </w:p>
    <w:p w14:paraId="77880505"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Maintain single temperature set point with a minimum outlet (supply) water temperature of 42</w:t>
      </w:r>
      <w:r>
        <w:rPr>
          <w:spacing w:val="-3"/>
          <w:sz w:val="24"/>
          <w:szCs w:val="24"/>
        </w:rPr>
        <w:t>°</w:t>
      </w:r>
      <w:r>
        <w:rPr>
          <w:rFonts w:ascii="Arial" w:hAnsi="Arial" w:cs="Arial"/>
          <w:spacing w:val="-3"/>
          <w:sz w:val="24"/>
          <w:szCs w:val="24"/>
        </w:rPr>
        <w:t>F up to a maximum outlet (supply) water temperature of 194</w:t>
      </w:r>
      <w:r>
        <w:rPr>
          <w:spacing w:val="-3"/>
          <w:sz w:val="24"/>
          <w:szCs w:val="24"/>
        </w:rPr>
        <w:t>°</w:t>
      </w:r>
      <w:r>
        <w:rPr>
          <w:rFonts w:ascii="Arial" w:hAnsi="Arial" w:cs="Arial"/>
          <w:spacing w:val="-3"/>
          <w:sz w:val="24"/>
          <w:szCs w:val="24"/>
        </w:rPr>
        <w:t>F.</w:t>
      </w:r>
    </w:p>
    <w:p w14:paraId="770F80E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DHW Priority capable of seamless transition between Comfort Heat (CH) and Domestic Hot Water (DHW) operation.</w:t>
      </w:r>
    </w:p>
    <w:p w14:paraId="28D13D8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14:paraId="7E31C6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Low Fire Delay to prevent excessive short-cycling of the boiler equipment.</w:t>
      </w:r>
    </w:p>
    <w:p w14:paraId="0BCC2319" w14:textId="77777777" w:rsidR="00C21DC6" w:rsidRDefault="00C21DC6" w:rsidP="00C21DC6">
      <w:pPr>
        <w:pStyle w:val="ListParagraph"/>
        <w:numPr>
          <w:ilvl w:val="4"/>
          <w:numId w:val="28"/>
        </w:numPr>
        <w:spacing w:line="240" w:lineRule="auto"/>
        <w:ind w:left="2520"/>
        <w:rPr>
          <w:rFonts w:ascii="Arial" w:hAnsi="Arial" w:cs="Arial"/>
          <w:spacing w:val="-3"/>
          <w:sz w:val="24"/>
          <w:szCs w:val="24"/>
        </w:rPr>
      </w:pPr>
      <w:r>
        <w:rPr>
          <w:rFonts w:ascii="Arial" w:hAnsi="Arial" w:cs="Arial"/>
          <w:spacing w:val="-3"/>
          <w:sz w:val="24"/>
          <w:szCs w:val="24"/>
        </w:rPr>
        <w:t>Local Manual Operation.</w:t>
      </w:r>
    </w:p>
    <w:p w14:paraId="316B3EC4" w14:textId="77777777" w:rsidR="00C21DC6" w:rsidRDefault="00C21DC6" w:rsidP="00C21DC6">
      <w:pPr>
        <w:numPr>
          <w:ilvl w:val="3"/>
          <w:numId w:val="28"/>
        </w:numPr>
        <w:spacing w:line="240" w:lineRule="auto"/>
        <w:ind w:left="1800"/>
        <w:rPr>
          <w:rFonts w:ascii="Arial" w:hAnsi="Arial" w:cs="Arial"/>
          <w:spacing w:val="-3"/>
          <w:sz w:val="24"/>
          <w:szCs w:val="24"/>
        </w:rPr>
      </w:pPr>
      <w:r>
        <w:rPr>
          <w:rFonts w:ascii="Arial" w:hAnsi="Arial" w:cs="Arial"/>
          <w:spacing w:val="-3"/>
          <w:sz w:val="24"/>
          <w:szCs w:val="24"/>
        </w:rPr>
        <w:t>The boiler control system shall be capable of interfacing with the following external control devices:</w:t>
      </w:r>
    </w:p>
    <w:p w14:paraId="7A53A00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Building Management System (MODBUS</w:t>
      </w:r>
      <w:r>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bCs/>
          <w:spacing w:val="-3"/>
          <w:sz w:val="24"/>
          <w:szCs w:val="24"/>
        </w:rPr>
        <w:t xml:space="preserve">NOTE: </w:t>
      </w:r>
      <w:r>
        <w:rPr>
          <w:rFonts w:ascii="Arial" w:hAnsi="Arial" w:cs="Arial"/>
          <w:spacing w:val="-3"/>
          <w:sz w:val="24"/>
          <w:szCs w:val="24"/>
        </w:rPr>
        <w:t>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BACnet</w:t>
      </w:r>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752ED03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Domestic Hot Water Break-on-Rise </w:t>
      </w:r>
      <w:proofErr w:type="spellStart"/>
      <w:r>
        <w:rPr>
          <w:rFonts w:ascii="Arial" w:hAnsi="Arial" w:cs="Arial"/>
          <w:spacing w:val="-3"/>
          <w:sz w:val="24"/>
          <w:szCs w:val="24"/>
        </w:rPr>
        <w:t>Aquastat</w:t>
      </w:r>
      <w:proofErr w:type="spellEnd"/>
      <w:r>
        <w:rPr>
          <w:rFonts w:ascii="Arial" w:hAnsi="Arial" w:cs="Arial"/>
          <w:spacing w:val="-3"/>
          <w:sz w:val="24"/>
          <w:szCs w:val="24"/>
        </w:rPr>
        <w:t xml:space="preserve"> (Normally Closed).</w:t>
      </w:r>
    </w:p>
    <w:p w14:paraId="1FF66CC7"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Domestic Hot Water Tank Temperature Sensor (12kΩ).</w:t>
      </w:r>
    </w:p>
    <w:p w14:paraId="4BB7DAF2"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External Header Temperature Sensor (12kΩ).</w:t>
      </w:r>
    </w:p>
    <w:p w14:paraId="675748C8"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Outdoor Air Temperature Sensor (12kΩ) both wired and wireless.</w:t>
      </w:r>
    </w:p>
    <w:p w14:paraId="1A901CD1" w14:textId="77777777" w:rsidR="00C21DC6" w:rsidRDefault="00C21DC6" w:rsidP="00C21DC6"/>
    <w:p w14:paraId="1B37BC6F" w14:textId="2F0B7142" w:rsidR="00485E02" w:rsidRPr="00180220" w:rsidRDefault="00485E02" w:rsidP="00C21DC6">
      <w:pPr>
        <w:keepLines/>
        <w:widowControl w:val="0"/>
        <w:numPr>
          <w:ilvl w:val="4"/>
          <w:numId w:val="20"/>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C21DC6">
      <w:pPr>
        <w:pStyle w:val="ListParagraph"/>
        <w:numPr>
          <w:ilvl w:val="3"/>
          <w:numId w:val="22"/>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ACEDDD7" w:rsidR="00937C40" w:rsidRPr="00180220" w:rsidRDefault="00291181"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For boilers configured for Natural Gas,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Each boiler shall be provided with all necessary inlet (supply) and outlet (return) connections.  Refer to the boiler’s specification sheet or manual for connection sizes.</w:t>
      </w:r>
    </w:p>
    <w:p w14:paraId="65EEB2B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C21DC6">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C21DC6">
      <w:pPr>
        <w:pStyle w:val="ListParagraph"/>
        <w:numPr>
          <w:ilvl w:val="3"/>
          <w:numId w:val="23"/>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C21DC6">
      <w:pPr>
        <w:pStyle w:val="ListParagraph"/>
        <w:widowControl w:val="0"/>
        <w:numPr>
          <w:ilvl w:val="3"/>
          <w:numId w:val="25"/>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53CD5832" w14:textId="2053804E" w:rsidR="00052705" w:rsidRPr="00EC036A"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each </w:t>
      </w:r>
      <w:r w:rsidR="00EC036A">
        <w:rPr>
          <w:rFonts w:ascii="Arial" w:hAnsi="Arial" w:cs="Arial"/>
          <w:spacing w:val="-3"/>
          <w:sz w:val="24"/>
          <w:szCs w:val="24"/>
        </w:rPr>
        <w:t>boiler</w:t>
      </w:r>
      <w:r w:rsidRPr="00EC036A">
        <w:rPr>
          <w:rFonts w:ascii="Arial" w:hAnsi="Arial" w:cs="Arial"/>
          <w:spacing w:val="-3"/>
          <w:sz w:val="24"/>
          <w:szCs w:val="24"/>
        </w:rPr>
        <w:t xml:space="preserve"> shall be configured for </w:t>
      </w:r>
      <w:r w:rsidR="00FE60F6">
        <w:rPr>
          <w:rFonts w:ascii="Arial" w:hAnsi="Arial" w:cs="Arial"/>
          <w:spacing w:val="-3"/>
          <w:sz w:val="24"/>
          <w:szCs w:val="24"/>
        </w:rPr>
        <w:t>115</w:t>
      </w:r>
      <w:r w:rsidRPr="00EC036A">
        <w:rPr>
          <w:rFonts w:ascii="Arial" w:hAnsi="Arial" w:cs="Arial"/>
          <w:spacing w:val="-3"/>
          <w:sz w:val="24"/>
          <w:szCs w:val="24"/>
        </w:rPr>
        <w:t xml:space="preserve">VAC, </w:t>
      </w:r>
      <w:r w:rsidR="00FE60F6">
        <w:rPr>
          <w:rFonts w:ascii="Arial" w:hAnsi="Arial" w:cs="Arial"/>
          <w:spacing w:val="-3"/>
          <w:sz w:val="24"/>
          <w:szCs w:val="24"/>
        </w:rPr>
        <w:t>Single</w:t>
      </w:r>
      <w:r w:rsidR="001549CD">
        <w:rPr>
          <w:rFonts w:ascii="Arial" w:hAnsi="Arial" w:cs="Arial"/>
          <w:spacing w:val="-3"/>
          <w:sz w:val="24"/>
          <w:szCs w:val="24"/>
        </w:rPr>
        <w:t>-</w:t>
      </w:r>
      <w:r w:rsidRPr="00EC036A">
        <w:rPr>
          <w:rFonts w:ascii="Arial" w:hAnsi="Arial" w:cs="Arial"/>
          <w:spacing w:val="-3"/>
          <w:sz w:val="24"/>
          <w:szCs w:val="24"/>
        </w:rPr>
        <w:t>Phase (w/ Neutral), 60Hz.</w:t>
      </w:r>
    </w:p>
    <w:p w14:paraId="58C86339" w14:textId="0378CE68" w:rsidR="003F302D" w:rsidRPr="00180220"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w:t>
      </w:r>
      <w:bookmarkStart w:id="0" w:name="_GoBack"/>
      <w:bookmarkEnd w:id="0"/>
      <w:r>
        <w:rPr>
          <w:rFonts w:ascii="Arial" w:hAnsi="Arial" w:cs="Arial"/>
          <w:spacing w:val="-3"/>
          <w:sz w:val="24"/>
          <w:szCs w:val="24"/>
        </w:rPr>
        <w:t>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5056" w:type="dxa"/>
        <w:tblLayout w:type="fixed"/>
        <w:tblLook w:val="04A0" w:firstRow="1" w:lastRow="0" w:firstColumn="1" w:lastColumn="0" w:noHBand="0" w:noVBand="1"/>
      </w:tblPr>
      <w:tblGrid>
        <w:gridCol w:w="1705"/>
        <w:gridCol w:w="1117"/>
        <w:gridCol w:w="1117"/>
        <w:gridCol w:w="1117"/>
      </w:tblGrid>
      <w:tr w:rsidR="00FE60F6" w:rsidRPr="00052705" w14:paraId="12CAFD5A" w14:textId="77777777" w:rsidTr="00FE60F6">
        <w:tc>
          <w:tcPr>
            <w:tcW w:w="1705" w:type="dxa"/>
            <w:shd w:val="clear" w:color="auto" w:fill="F2F2F2"/>
            <w:vAlign w:val="center"/>
          </w:tcPr>
          <w:p w14:paraId="68E1F638" w14:textId="77777777" w:rsidR="00FE60F6" w:rsidRPr="00052705" w:rsidRDefault="00FE60F6" w:rsidP="00052705">
            <w:pPr>
              <w:spacing w:before="60" w:after="60"/>
              <w:jc w:val="center"/>
              <w:rPr>
                <w:rFonts w:ascii="Arial" w:hAnsi="Arial" w:cs="Arial"/>
                <w:b/>
                <w:sz w:val="20"/>
                <w:szCs w:val="20"/>
              </w:rPr>
            </w:pPr>
          </w:p>
        </w:tc>
        <w:tc>
          <w:tcPr>
            <w:tcW w:w="1117" w:type="dxa"/>
            <w:shd w:val="clear" w:color="auto" w:fill="F2F2F2"/>
            <w:vAlign w:val="center"/>
          </w:tcPr>
          <w:p w14:paraId="3FAFB2A9" w14:textId="60EA43C8" w:rsidR="00FE60F6" w:rsidRPr="00052705" w:rsidRDefault="00FE60F6" w:rsidP="00FE60F6">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T</w:t>
            </w:r>
            <w:r w:rsidRPr="00052705">
              <w:rPr>
                <w:rFonts w:ascii="Arial" w:hAnsi="Arial" w:cs="Arial"/>
                <w:b/>
                <w:sz w:val="20"/>
                <w:szCs w:val="20"/>
              </w:rPr>
              <w:t>-</w:t>
            </w:r>
            <w:r>
              <w:rPr>
                <w:rFonts w:ascii="Arial" w:hAnsi="Arial" w:cs="Arial"/>
                <w:b/>
                <w:sz w:val="20"/>
                <w:szCs w:val="20"/>
              </w:rPr>
              <w:t>650</w:t>
            </w:r>
          </w:p>
        </w:tc>
        <w:tc>
          <w:tcPr>
            <w:tcW w:w="1117" w:type="dxa"/>
            <w:shd w:val="clear" w:color="auto" w:fill="F2F2F2"/>
            <w:vAlign w:val="center"/>
          </w:tcPr>
          <w:p w14:paraId="72B4EE1B" w14:textId="29EB4D61" w:rsidR="00FE60F6" w:rsidRPr="00052705" w:rsidRDefault="00FE60F6" w:rsidP="00FE60F6">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T</w:t>
            </w:r>
            <w:r w:rsidRPr="00052705">
              <w:rPr>
                <w:rFonts w:ascii="Arial" w:hAnsi="Arial" w:cs="Arial"/>
                <w:b/>
                <w:sz w:val="20"/>
                <w:szCs w:val="20"/>
              </w:rPr>
              <w:t>-</w:t>
            </w:r>
            <w:r>
              <w:rPr>
                <w:rFonts w:ascii="Arial" w:hAnsi="Arial" w:cs="Arial"/>
                <w:b/>
                <w:sz w:val="20"/>
                <w:szCs w:val="20"/>
              </w:rPr>
              <w:t>800</w:t>
            </w:r>
          </w:p>
        </w:tc>
        <w:tc>
          <w:tcPr>
            <w:tcW w:w="1117" w:type="dxa"/>
            <w:shd w:val="clear" w:color="auto" w:fill="F2F2F2"/>
            <w:vAlign w:val="center"/>
          </w:tcPr>
          <w:p w14:paraId="4DA7A93C" w14:textId="63348FB9" w:rsidR="00FE60F6" w:rsidRPr="00052705" w:rsidRDefault="00FE60F6" w:rsidP="00FE60F6">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T</w:t>
            </w:r>
            <w:r w:rsidRPr="00052705">
              <w:rPr>
                <w:rFonts w:ascii="Arial" w:hAnsi="Arial" w:cs="Arial"/>
                <w:b/>
                <w:sz w:val="20"/>
                <w:szCs w:val="20"/>
              </w:rPr>
              <w:t>-</w:t>
            </w:r>
            <w:r>
              <w:rPr>
                <w:rFonts w:ascii="Arial" w:hAnsi="Arial" w:cs="Arial"/>
                <w:b/>
                <w:sz w:val="20"/>
                <w:szCs w:val="20"/>
              </w:rPr>
              <w:t>1000</w:t>
            </w:r>
          </w:p>
        </w:tc>
      </w:tr>
      <w:tr w:rsidR="00FE60F6" w:rsidRPr="00052705" w14:paraId="3177F155" w14:textId="77777777" w:rsidTr="00FE60F6">
        <w:tc>
          <w:tcPr>
            <w:tcW w:w="1705" w:type="dxa"/>
            <w:vAlign w:val="center"/>
          </w:tcPr>
          <w:p w14:paraId="10661CC5" w14:textId="77777777" w:rsidR="00FE60F6" w:rsidRPr="00052705" w:rsidRDefault="00FE60F6" w:rsidP="00052705">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386A7873" w14:textId="3D294607" w:rsidR="00FE60F6" w:rsidRPr="00052705" w:rsidRDefault="00FE60F6" w:rsidP="00052705">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c>
          <w:tcPr>
            <w:tcW w:w="1117" w:type="dxa"/>
            <w:vAlign w:val="center"/>
          </w:tcPr>
          <w:p w14:paraId="2B41DC11" w14:textId="70A99A4A" w:rsidR="00FE60F6" w:rsidRPr="00052705" w:rsidRDefault="00FE60F6" w:rsidP="00052705">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c>
          <w:tcPr>
            <w:tcW w:w="1117" w:type="dxa"/>
            <w:vAlign w:val="center"/>
          </w:tcPr>
          <w:p w14:paraId="06673667" w14:textId="43FB4329" w:rsidR="00FE60F6" w:rsidRPr="00052705" w:rsidRDefault="00FE60F6" w:rsidP="00052705">
            <w:pPr>
              <w:spacing w:before="60" w:after="60"/>
              <w:jc w:val="center"/>
              <w:rPr>
                <w:rFonts w:ascii="Arial" w:hAnsi="Arial" w:cs="Arial"/>
                <w:sz w:val="20"/>
                <w:szCs w:val="20"/>
              </w:rPr>
            </w:pPr>
            <w:r w:rsidRPr="00052705">
              <w:rPr>
                <w:rFonts w:ascii="Arial" w:hAnsi="Arial" w:cs="Arial"/>
                <w:sz w:val="20"/>
                <w:szCs w:val="20"/>
              </w:rPr>
              <w:t>20 Amps</w:t>
            </w:r>
          </w:p>
        </w:tc>
      </w:tr>
      <w:tr w:rsidR="00FE60F6" w:rsidRPr="00052705" w14:paraId="4A0515FB" w14:textId="77777777" w:rsidTr="00FE60F6">
        <w:tc>
          <w:tcPr>
            <w:tcW w:w="1705" w:type="dxa"/>
            <w:vAlign w:val="center"/>
          </w:tcPr>
          <w:p w14:paraId="61721E3F" w14:textId="77777777" w:rsidR="00FE60F6" w:rsidRPr="00052705" w:rsidRDefault="00FE60F6" w:rsidP="00052705">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71FF44F4" w14:textId="4ADA818E" w:rsidR="00FE60F6" w:rsidRPr="00052705" w:rsidRDefault="00FE60F6" w:rsidP="00052705">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c>
          <w:tcPr>
            <w:tcW w:w="1117" w:type="dxa"/>
            <w:vAlign w:val="center"/>
          </w:tcPr>
          <w:p w14:paraId="6FBDB9B9" w14:textId="18E95C36" w:rsidR="00FE60F6" w:rsidRPr="00052705" w:rsidRDefault="00FE60F6" w:rsidP="00052705">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c>
          <w:tcPr>
            <w:tcW w:w="1117" w:type="dxa"/>
            <w:vAlign w:val="center"/>
          </w:tcPr>
          <w:p w14:paraId="22C2E0BD" w14:textId="07C238E8" w:rsidR="00FE60F6" w:rsidRPr="00052705" w:rsidRDefault="00FE60F6" w:rsidP="00052705">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691D878C" w:rsidR="000C14FC" w:rsidRDefault="005B4557" w:rsidP="000E1891">
    <w:pPr>
      <w:pStyle w:val="Footer"/>
      <w:jc w:val="center"/>
    </w:pPr>
    <w:r>
      <w:t>STORM</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FE60F6">
      <w:rPr>
        <w:noProof/>
      </w:rPr>
      <w:t>1</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6"/>
  </w:num>
  <w:num w:numId="5">
    <w:abstractNumId w:val="6"/>
  </w:num>
  <w:num w:numId="6">
    <w:abstractNumId w:val="3"/>
  </w:num>
  <w:num w:numId="7">
    <w:abstractNumId w:val="18"/>
  </w:num>
  <w:num w:numId="8">
    <w:abstractNumId w:val="14"/>
  </w:num>
  <w:num w:numId="9">
    <w:abstractNumId w:val="24"/>
  </w:num>
  <w:num w:numId="10">
    <w:abstractNumId w:val="16"/>
  </w:num>
  <w:num w:numId="11">
    <w:abstractNumId w:val="23"/>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2"/>
  </w:num>
  <w:num w:numId="19">
    <w:abstractNumId w:val="8"/>
  </w:num>
  <w:num w:numId="20">
    <w:abstractNumId w:val="13"/>
  </w:num>
  <w:num w:numId="21">
    <w:abstractNumId w:val="1"/>
  </w:num>
  <w:num w:numId="22">
    <w:abstractNumId w:val="21"/>
  </w:num>
  <w:num w:numId="23">
    <w:abstractNumId w:val="7"/>
  </w:num>
  <w:num w:numId="24">
    <w:abstractNumId w:val="25"/>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5708"/>
    <w:rsid w:val="0007507D"/>
    <w:rsid w:val="00075C62"/>
    <w:rsid w:val="00091BD9"/>
    <w:rsid w:val="000C14FC"/>
    <w:rsid w:val="000C27D7"/>
    <w:rsid w:val="000D0671"/>
    <w:rsid w:val="000E1891"/>
    <w:rsid w:val="00113180"/>
    <w:rsid w:val="00115A9D"/>
    <w:rsid w:val="00115F4A"/>
    <w:rsid w:val="00124BFB"/>
    <w:rsid w:val="00134BF9"/>
    <w:rsid w:val="00146118"/>
    <w:rsid w:val="00151BD1"/>
    <w:rsid w:val="001549CD"/>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821B5"/>
    <w:rsid w:val="00790C31"/>
    <w:rsid w:val="007916A9"/>
    <w:rsid w:val="00793A67"/>
    <w:rsid w:val="00794D02"/>
    <w:rsid w:val="007A0130"/>
    <w:rsid w:val="007D540A"/>
    <w:rsid w:val="007E4DC5"/>
    <w:rsid w:val="00807931"/>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5982"/>
    <w:rsid w:val="009C65D7"/>
    <w:rsid w:val="009C73CA"/>
    <w:rsid w:val="009D7BDB"/>
    <w:rsid w:val="009D7C05"/>
    <w:rsid w:val="009F5DDF"/>
    <w:rsid w:val="00A0216A"/>
    <w:rsid w:val="00A076B9"/>
    <w:rsid w:val="00A15077"/>
    <w:rsid w:val="00A61826"/>
    <w:rsid w:val="00A63D9C"/>
    <w:rsid w:val="00A7185F"/>
    <w:rsid w:val="00AA6CFF"/>
    <w:rsid w:val="00AB6D9E"/>
    <w:rsid w:val="00AB776C"/>
    <w:rsid w:val="00AC10A6"/>
    <w:rsid w:val="00AC1172"/>
    <w:rsid w:val="00AC774B"/>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5860"/>
    <w:rsid w:val="00C46149"/>
    <w:rsid w:val="00C5559F"/>
    <w:rsid w:val="00C578FA"/>
    <w:rsid w:val="00C80B7C"/>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6D1C"/>
    <w:rsid w:val="00DE7669"/>
    <w:rsid w:val="00E10569"/>
    <w:rsid w:val="00E11C9C"/>
    <w:rsid w:val="00E14837"/>
    <w:rsid w:val="00E15F6F"/>
    <w:rsid w:val="00E25C89"/>
    <w:rsid w:val="00E3797E"/>
    <w:rsid w:val="00E410CA"/>
    <w:rsid w:val="00E420D0"/>
    <w:rsid w:val="00E44984"/>
    <w:rsid w:val="00E47010"/>
    <w:rsid w:val="00E501A8"/>
    <w:rsid w:val="00E52A62"/>
    <w:rsid w:val="00E746D6"/>
    <w:rsid w:val="00E7575D"/>
    <w:rsid w:val="00E761A1"/>
    <w:rsid w:val="00E774E3"/>
    <w:rsid w:val="00E87858"/>
    <w:rsid w:val="00E87AC9"/>
    <w:rsid w:val="00E91714"/>
    <w:rsid w:val="00E95E74"/>
    <w:rsid w:val="00EC036A"/>
    <w:rsid w:val="00EC0D8D"/>
    <w:rsid w:val="00EC55DD"/>
    <w:rsid w:val="00ED3EE0"/>
    <w:rsid w:val="00EE07DC"/>
    <w:rsid w:val="00EE2D74"/>
    <w:rsid w:val="00EE4720"/>
    <w:rsid w:val="00EF0E1A"/>
    <w:rsid w:val="00EF5C90"/>
    <w:rsid w:val="00EF6DB5"/>
    <w:rsid w:val="00F057C7"/>
    <w:rsid w:val="00F17546"/>
    <w:rsid w:val="00F25F48"/>
    <w:rsid w:val="00F3109C"/>
    <w:rsid w:val="00F351CA"/>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E173C"/>
    <w:rsid w:val="00FE60F6"/>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97B7B-721D-473F-A5F2-EE64A5BF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Villaume, Patrick</cp:lastModifiedBy>
  <cp:revision>3</cp:revision>
  <cp:lastPrinted>2013-01-10T13:40:00Z</cp:lastPrinted>
  <dcterms:created xsi:type="dcterms:W3CDTF">2020-10-22T21:15:00Z</dcterms:created>
  <dcterms:modified xsi:type="dcterms:W3CDTF">2020-10-22T21:18:00Z</dcterms:modified>
</cp:coreProperties>
</file>